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3c60508e90e63330181aac60505365dedd6b3"/>
    <w:p>
      <w:pPr>
        <w:pStyle w:val="Heading3"/>
      </w:pPr>
      <w:r>
        <w:t xml:space="preserve">Сведения о среднемесячной заработной плате руководителей, заместителей руководителей и главных бухгалтеров за 2018 год</w:t>
      </w:r>
    </w:p>
    <w:p>
      <w:pPr>
        <w:pStyle w:val="FirstParagraph"/>
      </w:pPr>
      <w:r>
        <w:t xml:space="preserve">15.02.2019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http://mgc.mos.ru/anti-corruption/information-on-income-expenses-about-property-and-obligations-of-property-character/detail/7890180.html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«Московский центр градостроительного развития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7890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7890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2025-07-30T11:16:27Z</dcterms:created>
  <dcterms:modified xsi:type="dcterms:W3CDTF">2025-07-30T11:16:27Z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